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i w:val="0"/>
          <w:color w:val="B00000"/>
          <w:sz w:val="22"/>
        </w:rPr>
        <w:t>ШАБЛОН ДЛЯ САМОСТОЯТЕЛЬНОЙ ДОРАБОТКИ</w:t>
      </w:r>
    </w:p>
    <w:p>
      <w:pPr>
        <w:jc w:val="center"/>
      </w:pPr>
      <w:r>
        <w:rPr>
          <w:b w:val="0"/>
          <w:i/>
          <w:color w:val="707070"/>
          <w:sz w:val="20"/>
        </w:rPr>
        <w:t>Не является готовым процессуальным документом. Перед подачей — проверить у практикующего юриста. Поля в квадратных скобках заполнить своими данными, пометки [ПОМЕТКА: ...] прочитать и удалить.</w:t>
      </w:r>
    </w:p>
    <w:p>
      <w:r>
        <w:rPr>
          <w:b w:val="0"/>
          <w:i w:val="0"/>
        </w:rPr>
      </w:r>
    </w:p>
    <w:p>
      <w:pPr>
        <w:spacing w:after="0"/>
        <w:jc w:val="right"/>
      </w:pPr>
      <w:r>
        <w:rPr>
          <w:b w:val="0"/>
          <w:i w:val="0"/>
        </w:rPr>
        <w:t>ООО «РВБ» (Wildberries)</w:t>
      </w:r>
    </w:p>
    <w:p>
      <w:pPr>
        <w:spacing w:after="0"/>
        <w:jc w:val="right"/>
      </w:pPr>
      <w:r>
        <w:rPr>
          <w:b w:val="0"/>
          <w:i w:val="0"/>
        </w:rPr>
        <w:t>ИНН [___], ОГРН [___]</w:t>
      </w:r>
    </w:p>
    <w:p>
      <w:pPr>
        <w:spacing w:after="0"/>
        <w:jc w:val="right"/>
      </w:pPr>
      <w:r>
        <w:rPr>
          <w:b w:val="0"/>
          <w:i w:val="0"/>
        </w:rPr>
        <w:t>Адрес: [___]</w:t>
      </w:r>
    </w:p>
    <w:p>
      <w:pPr>
        <w:spacing w:after="0"/>
        <w:jc w:val="right"/>
      </w:pPr>
      <w:r>
        <w:rPr>
          <w:b w:val="0"/>
          <w:i w:val="0"/>
        </w:rPr>
        <w:t>E-mail: sellers@wildberries.ru; [___]</w:t>
      </w:r>
    </w:p>
    <w:p>
      <w:r>
        <w:rPr>
          <w:b w:val="0"/>
          <w:i w:val="0"/>
        </w:rPr>
      </w:r>
    </w:p>
    <w:p>
      <w:pPr>
        <w:spacing w:after="0"/>
        <w:jc w:val="right"/>
      </w:pPr>
      <w:r>
        <w:rPr>
          <w:b w:val="0"/>
          <w:i w:val="0"/>
        </w:rPr>
        <w:t>от [ИП / ООО «___»], ИНН [___],</w:t>
      </w:r>
    </w:p>
    <w:p>
      <w:pPr>
        <w:spacing w:after="0"/>
        <w:jc w:val="right"/>
      </w:pPr>
      <w:r>
        <w:rPr>
          <w:b w:val="0"/>
          <w:i w:val="0"/>
        </w:rPr>
        <w:t>ОГРНИП/ОГРН [___], Seller ID: [___]</w:t>
      </w:r>
    </w:p>
    <w:p>
      <w:pPr>
        <w:spacing w:after="0"/>
        <w:jc w:val="right"/>
      </w:pPr>
      <w:r>
        <w:rPr>
          <w:b w:val="0"/>
          <w:i w:val="0"/>
        </w:rPr>
        <w:t>адрес: [___], тел.: [___], e-mail: [___]</w:t>
      </w:r>
    </w:p>
    <w:p>
      <w:r>
        <w:rPr>
          <w:b w:val="0"/>
          <w:i w:val="0"/>
        </w:rPr>
      </w:r>
    </w:p>
    <w:p>
      <w:pPr>
        <w:spacing w:after="0"/>
        <w:jc w:val="center"/>
      </w:pPr>
      <w:r>
        <w:rPr>
          <w:b/>
          <w:i w:val="0"/>
          <w:sz w:val="28"/>
        </w:rPr>
        <w:t>ДОСУДЕБНАЯ ПРЕТЕНЗИЯ</w:t>
      </w:r>
    </w:p>
    <w:p>
      <w:pPr>
        <w:jc w:val="center"/>
      </w:pPr>
      <w:r>
        <w:rPr>
          <w:b w:val="0"/>
          <w:i w:val="0"/>
        </w:rPr>
        <w:t>о возмещении убытков, причинённых утратой товара при пожаре на складе</w:t>
      </w:r>
    </w:p>
    <w:p>
      <w:r>
        <w:rPr>
          <w:b w:val="0"/>
          <w:i w:val="0"/>
        </w:rPr>
      </w:r>
    </w:p>
    <w:p>
      <w:r>
        <w:rPr>
          <w:b/>
          <w:i w:val="0"/>
        </w:rPr>
        <w:t>1. Обстоятельства</w:t>
      </w:r>
    </w:p>
    <w:p>
      <w:pPr>
        <w:jc w:val="both"/>
      </w:pPr>
      <w:r>
        <w:rPr>
          <w:b w:val="0"/>
          <w:i w:val="0"/>
        </w:rPr>
        <w:t>Между Продавцом и ООО «РВБ» (Вайлдберриз) заключён договор путём акцепта оферты «О реализации товара на сайте WILDBERRIES». Договор носит смешанный характер: агентирование (ст. 1005, 1011 ГК РФ) с элементами хранения по модели FBW. С момента передачи товара на склад и до его реализации покупателю товар находится на хранении у Вайлдберриз как профессионального хранителя (п. 2 ст. 886 ГК РФ).</w:t>
      </w:r>
    </w:p>
    <w:p>
      <w:pPr>
        <w:jc w:val="both"/>
      </w:pPr>
      <w:r>
        <w:rPr>
          <w:b w:val="0"/>
          <w:i w:val="0"/>
        </w:rPr>
        <w:t>В ночь на [дата] на складе Вайлдберриз в г. [Котовск / Электросталь] произошёл пожар в результате атаки БПЛА, что подтверждается официальными сообщениями МЧС, публикациями СМИ и заявлениями самой компании. На складе находился товар Продавца на сумму [сумма] руб. по данным личного кабинета на дату, максимально близкую к происшествию (Приложение № 1 — выгрузка остатков; Приложение № 2 — товаросопроводительные документы).</w:t>
      </w:r>
    </w:p>
    <w:p>
      <w:r>
        <w:rPr>
          <w:b/>
          <w:i w:val="0"/>
        </w:rPr>
        <w:t>2. Правовая квалификация и форс-мажор</w:t>
      </w:r>
    </w:p>
    <w:p>
      <w:pPr>
        <w:jc w:val="both"/>
      </w:pPr>
      <w:r>
        <w:rPr>
          <w:b w:val="0"/>
          <w:i w:val="0"/>
        </w:rPr>
        <w:t>Обязанность обеспечить сохранность товара вытекает как из общих положений о комиссии (ст. 998 ГК РФ, применяется к агентским отношениям в силу ст. 1011 ГК РФ), так и из специальных норм о хранении (ст. 886, 891, 901, 902 ГК РФ). Профессиональный хранитель отвечает за утрату товара, если не докажет, что она произошла вследствие непреодолимой силы (п. 1 ст. 901 ГК РФ).</w:t>
      </w:r>
    </w:p>
    <w:p>
      <w:pPr>
        <w:jc w:val="both"/>
      </w:pPr>
      <w:r>
        <w:rPr>
          <w:b w:val="0"/>
          <w:i w:val="0"/>
        </w:rPr>
        <w:t>Ссылка на п. 11.3.4.1 оферты (редакция от 07.07.2026), относящий последствия БПЛА к непреодолимой силе, сама по себе ответственности не снимает. Согласно п. 3 ст. 401 ГК РФ обстоятельство признаётся непреодолимой силой только при одновременном наличии чрезвычайности, непредотвратимости, независимости от воли должника и объективной невозможности исполнения. Бремя доказывания всех признаков лежит на хранителе.</w:t>
      </w:r>
    </w:p>
    <w:p>
      <w:pPr>
        <w:jc w:val="both"/>
      </w:pPr>
      <w:r>
        <w:rPr>
          <w:b w:val="0"/>
          <w:i/>
          <w:color w:val="606060"/>
          <w:sz w:val="21"/>
        </w:rPr>
        <w:t>[ПОМЕТКА: ВАЖНАЯ ОГОВОРКА. Практика по искам после пожара в Шушарах (январь 2024) касалась бытового возгорания из-за проводки, а не военного удара. Устоявшейся практики о признании атаки БПЛА непреодолимой силой пока не существует — суд может быть более склонен признать военный удар форс-мажором, чем электропроводку. Не рассчитывайте на автоматический перенос исхода Шушар на этот случай: это отдельный, ещё не разрешённый вопрос.]</w:t>
      </w:r>
    </w:p>
    <w:p>
      <w:pPr>
        <w:jc w:val="both"/>
      </w:pPr>
      <w:r>
        <w:rPr>
          <w:b w:val="0"/>
          <w:i w:val="0"/>
        </w:rPr>
        <w:t>Даже если признаки чрезвычайности и непредотвратимости самой атаки будут установлены, отдельным предметом доказывания остаётся то, принял ли хранитель разумные меры по минимизации ущерба: исправность систем пожаротушения и оповещения, организация эвакуации товара, защита от вторичных факторов (вода, дым). При недоказанности этого условия освобождение от ответственности не наступает.</w:t>
      </w:r>
    </w:p>
    <w:p>
      <w:r>
        <w:rPr>
          <w:b/>
          <w:i w:val="0"/>
        </w:rPr>
        <w:t>3. Расчёт по рыночной, а не по закупочной стоимости</w:t>
      </w:r>
    </w:p>
    <w:p>
      <w:pPr>
        <w:jc w:val="both"/>
      </w:pPr>
      <w:r>
        <w:rPr>
          <w:b w:val="0"/>
          <w:i w:val="0"/>
        </w:rPr>
        <w:t>Возмещение утраченного товара, переданного на реализацию, определяется по рыночной (розничной) стоимости, а не по себестоимости или закупочной цене. Данная позиция прямо подтверждена Постановлением Арбитражного суда Московского округа от 14.11.2022 № Ф05-27351/2022 по делу № А41-77285/2021: скидки не формируют рыночную стоимость товара, а направлены на получение конкурентных преимуществ и стимулирование продаж, поэтому уменьшать на них возмещение неправомерно.</w:t>
      </w:r>
    </w:p>
    <w:p>
      <w:pPr>
        <w:jc w:val="both"/>
      </w:pPr>
      <w:r>
        <w:rPr>
          <w:b w:val="0"/>
          <w:i/>
          <w:color w:val="606060"/>
          <w:sz w:val="21"/>
        </w:rPr>
        <w:t>[ПОМЕТКА: Дело и цитата проверены — совпадают с текстом решения по независимым источникам. Методику расчёта берите по средней цене реализации артикула за 12 месяцев до утраты (по вашим отчётам о продажах), а не по закупочной стоимости — так требование сильнее.]</w:t>
      </w:r>
    </w:p>
    <w:p>
      <w:pPr>
        <w:jc w:val="both"/>
      </w:pPr>
      <w:r>
        <w:rPr>
          <w:b w:val="0"/>
          <w:i w:val="0"/>
        </w:rPr>
        <w:t>Также в практике по Шушарам (дело № А41-62514/2024) суд указал: «при непредставлении Вайлдберриз доказательств надлежащего исполнения обязательств по сохранности товара пункт Оферты об ограничении ответственности не применяется». Это значит: пока компания не докажет, что приняла разумные меры защиты склада, ссылка на форс-мажор и на формулу «себестоимость минус» не работает.</w:t>
      </w:r>
    </w:p>
    <w:p>
      <w:pPr>
        <w:jc w:val="both"/>
      </w:pPr>
      <w:r>
        <w:rPr>
          <w:b w:val="0"/>
          <w:i/>
          <w:color w:val="606060"/>
          <w:sz w:val="21"/>
        </w:rPr>
        <w:t>[ПОМЕТКА: Учтите и обратную сторону: по части дел о Шушарах вторая инстанция вставала на сторону WB там, где продавец не мог документально подтвердить именно рыночную цену — держите под рукой отчёты о продажах, а не только цену с карточки товара.]</w:t>
      </w:r>
    </w:p>
    <w:p>
      <w:r>
        <w:rPr>
          <w:b/>
          <w:i w:val="0"/>
        </w:rPr>
        <w:t>4. Страхование</w:t>
      </w:r>
    </w:p>
    <w:p>
      <w:pPr>
        <w:jc w:val="both"/>
      </w:pPr>
      <w:r>
        <w:rPr>
          <w:b w:val="0"/>
          <w:i w:val="0"/>
        </w:rPr>
        <w:t>Прошу сообщить, был ли утраченный товар застрахован Вайлдберриз по договору страхования грузов на момент происшествия, наименование страховщика и инициировано ли обращение за выплатой. Получение Вайлдберриз страхового возмещения, превышающего сумму компенсаций продавцам, может образовывать признаки неосновательного обогащения (ст. 1102 ГК РФ) и влечёт право требовать возмещения в размере не менее полученного дохода (п. 4 ст. 15 ГК РФ).</w:t>
      </w:r>
    </w:p>
    <w:p>
      <w:r>
        <w:rPr>
          <w:b/>
          <w:i w:val="0"/>
        </w:rPr>
        <w:t>5. Предупреждение против отказных документов</w:t>
      </w:r>
    </w:p>
    <w:p>
      <w:pPr>
        <w:jc w:val="both"/>
      </w:pPr>
      <w:r>
        <w:rPr>
          <w:b w:val="0"/>
          <w:i w:val="0"/>
        </w:rPr>
        <w:t>Заявляю: я не намерен(а) соглашаться с какими-либо «отчётами о возмещении», кнопками «согласиться» в личном кабинете или иными формами, содержащими условия об отказе от дальнейших требований, до полного и добросовестного возмещения убытков. Любое такое действие в интерфейсе платформы, совершённое до урегулирования спора, следует рассматривать как совершённое под влиянием заблуждения (ст. 178 ГК РФ).</w:t>
      </w:r>
    </w:p>
    <w:p>
      <w:pPr>
        <w:jc w:val="both"/>
      </w:pPr>
      <w:r>
        <w:rPr>
          <w:b w:val="0"/>
          <w:i/>
          <w:color w:val="606060"/>
          <w:sz w:val="21"/>
        </w:rPr>
        <w:t>[ПОМЕТКА: Это предупреждение стоит держать в голове и вне текста претензии: не жмите ничего в личном кабинете, что похоже на согласие с суммой, пока не получили деньги или не проконсультировались с юристом.]</w:t>
      </w:r>
    </w:p>
    <w:p>
      <w:r>
        <w:rPr>
          <w:b/>
          <w:i w:val="0"/>
        </w:rPr>
        <w:t>6. Требование</w:t>
      </w:r>
    </w:p>
    <w:p>
      <w:pPr>
        <w:jc w:val="both"/>
      </w:pPr>
      <w:r>
        <w:rPr>
          <w:b w:val="0"/>
          <w:i w:val="0"/>
        </w:rPr>
        <w:t>На основании изложенного и руководствуясь ст. 15, 393, 401, 886, 901, 902, 998, 1011 ГК РФ, ПРОШУ:</w:t>
      </w:r>
    </w:p>
    <w:p>
      <w:pPr>
        <w:jc w:val="both"/>
      </w:pPr>
      <w:r>
        <w:rPr>
          <w:b w:val="0"/>
          <w:i w:val="0"/>
        </w:rPr>
        <w:t>1. Возместить убытки в размере [сумма] руб. в течение 10 (десяти) рабочих дней с момента получения претензии по реквизитам: [___].</w:t>
      </w:r>
    </w:p>
    <w:p>
      <w:pPr>
        <w:jc w:val="both"/>
      </w:pPr>
      <w:r>
        <w:rPr>
          <w:b w:val="0"/>
          <w:i w:val="0"/>
        </w:rPr>
        <w:t>2. Предоставить сведения о страховании товара и о принятых мерах пожарной безопасности на складе.</w:t>
      </w:r>
    </w:p>
    <w:p>
      <w:pPr>
        <w:jc w:val="both"/>
      </w:pPr>
      <w:r>
        <w:rPr>
          <w:b w:val="0"/>
          <w:i w:val="0"/>
        </w:rPr>
        <w:t>3. Не размещать в личном кабинете формы и «кнопки согласия», предполагающие отказ от дальнейших требований, до полного урегулирования.</w:t>
      </w:r>
    </w:p>
    <w:p>
      <w:pPr>
        <w:jc w:val="both"/>
      </w:pPr>
      <w:r>
        <w:rPr>
          <w:b w:val="0"/>
          <w:i w:val="0"/>
        </w:rPr>
        <w:t>В случае отказа либо отсутствия ответа в указанный срок буду вынужден(а) обратиться в арбитражный суд с требованием о взыскании убытков, процентов по ст. 395 ГК РФ и судебных расходов, а также направить обращения в ФАС России и иные компетентные органы.</w:t>
      </w:r>
    </w:p>
    <w:p>
      <w:r>
        <w:rPr>
          <w:b/>
          <w:i w:val="0"/>
        </w:rPr>
        <w:t>Приложения:</w:t>
      </w:r>
    </w:p>
    <w:p>
      <w:pPr>
        <w:jc w:val="both"/>
      </w:pPr>
      <w:r>
        <w:rPr>
          <w:b w:val="0"/>
          <w:i w:val="0"/>
        </w:rPr>
        <w:t>1) выгрузка остатков из ЛК на дату происшествия; 2) товаросопроводительные документы; 3) расчёт суммы убытков по средней цене реализации; 4) отчёты о продажах за 12 месяцев; 5) документы, подтверждающие факт ЧС (МЧС, СМИ); 6) [иные документы].</w:t>
      </w:r>
    </w:p>
    <w:p>
      <w:pPr>
        <w:jc w:val="both"/>
      </w:pPr>
      <w:r>
        <w:rPr>
          <w:b w:val="0"/>
          <w:i/>
          <w:color w:val="606060"/>
          <w:sz w:val="21"/>
        </w:rPr>
        <w:t>Претензию рекомендуется направить одновременно: заказным письмом с описью вложения, на официальный e-mail поддержки продавцов и через обращение в личном кабинете — это фиксирует дату уведомления по всем каналам.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«___» __________ 2026 г.                        ______________ / [ФИО, подпись]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