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i w:val="0"/>
          <w:color w:val="B00000"/>
          <w:sz w:val="22"/>
        </w:rPr>
        <w:t>ШАБЛОН ДЛЯ САМОСТОЯТЕЛЬНОЙ ДОРАБОТКИ</w:t>
      </w:r>
    </w:p>
    <w:p>
      <w:pPr>
        <w:jc w:val="center"/>
      </w:pPr>
      <w:r>
        <w:rPr>
          <w:b w:val="0"/>
          <w:i/>
          <w:color w:val="707070"/>
          <w:sz w:val="20"/>
        </w:rPr>
        <w:t>Не является готовым процессуальным документом. Перед подачей — проверить у практикующего юриста. Поля в квадратных скобках заполнить своими данными, пометки [ПОМЕТКА: ...] прочитать и удалить.</w:t>
      </w:r>
    </w:p>
    <w:p>
      <w:r>
        <w:rPr>
          <w:b w:val="0"/>
          <w:i w:val="0"/>
        </w:rPr>
      </w:r>
    </w:p>
    <w:p>
      <w:pPr>
        <w:spacing w:after="0"/>
        <w:jc w:val="right"/>
      </w:pPr>
      <w:r>
        <w:rPr>
          <w:b w:val="0"/>
          <w:i w:val="0"/>
        </w:rPr>
        <w:t>В Арбитражный суд [субъекта РФ]</w:t>
      </w:r>
    </w:p>
    <w:p>
      <w:pPr>
        <w:spacing w:after="0"/>
        <w:jc w:val="right"/>
      </w:pPr>
      <w:r>
        <w:rPr>
          <w:b w:val="0"/>
          <w:i w:val="0"/>
        </w:rPr>
        <w:t>[адрес суда]</w:t>
      </w:r>
    </w:p>
    <w:p>
      <w:r>
        <w:rPr>
          <w:b w:val="0"/>
          <w:i w:val="0"/>
        </w:rPr>
      </w:r>
    </w:p>
    <w:p>
      <w:pPr>
        <w:spacing w:after="0"/>
        <w:jc w:val="right"/>
      </w:pPr>
      <w:r>
        <w:rPr>
          <w:b w:val="0"/>
          <w:i w:val="0"/>
        </w:rPr>
        <w:t>Истец: [ИП / ООО «___»], ИНН [___],</w:t>
      </w:r>
    </w:p>
    <w:p>
      <w:pPr>
        <w:spacing w:after="0"/>
        <w:jc w:val="right"/>
      </w:pPr>
      <w:r>
        <w:rPr>
          <w:b w:val="0"/>
          <w:i w:val="0"/>
        </w:rPr>
        <w:t>ОГРНИП/ОГРН [___], адрес: [___]</w:t>
      </w:r>
    </w:p>
    <w:p>
      <w:r>
        <w:rPr>
          <w:b w:val="0"/>
          <w:i w:val="0"/>
        </w:rPr>
      </w:r>
    </w:p>
    <w:p>
      <w:pPr>
        <w:spacing w:after="0"/>
        <w:jc w:val="right"/>
      </w:pPr>
      <w:r>
        <w:rPr>
          <w:b w:val="0"/>
          <w:i w:val="0"/>
        </w:rPr>
        <w:t>Ответчик: ООО «РВБ» (Wildberries),</w:t>
      </w:r>
    </w:p>
    <w:p>
      <w:pPr>
        <w:spacing w:after="0"/>
        <w:jc w:val="right"/>
      </w:pPr>
      <w:r>
        <w:rPr>
          <w:b w:val="0"/>
          <w:i w:val="0"/>
        </w:rPr>
        <w:t>ИНН [___], ОГРН [___], адрес: [___]</w:t>
      </w:r>
    </w:p>
    <w:p>
      <w:r>
        <w:rPr>
          <w:b w:val="0"/>
          <w:i w:val="0"/>
        </w:rPr>
      </w:r>
    </w:p>
    <w:p>
      <w:pPr>
        <w:jc w:val="right"/>
      </w:pPr>
      <w:r>
        <w:rPr>
          <w:b w:val="0"/>
          <w:i w:val="0"/>
        </w:rPr>
        <w:t>Цена иска: [сумма] руб. Госпошлина: [расчёт по ст. 333.21 НК РФ]</w:t>
      </w:r>
    </w:p>
    <w:p>
      <w:r>
        <w:rPr>
          <w:b w:val="0"/>
          <w:i w:val="0"/>
        </w:rPr>
      </w:r>
    </w:p>
    <w:p>
      <w:pPr>
        <w:spacing w:after="0"/>
        <w:jc w:val="center"/>
      </w:pPr>
      <w:r>
        <w:rPr>
          <w:b/>
          <w:i w:val="0"/>
          <w:sz w:val="28"/>
        </w:rPr>
        <w:t>ИСКОВОЕ ЗАЯВЛЕНИЕ</w:t>
      </w:r>
    </w:p>
    <w:p>
      <w:pPr>
        <w:jc w:val="center"/>
      </w:pPr>
      <w:r>
        <w:rPr>
          <w:b w:val="0"/>
          <w:i w:val="0"/>
        </w:rPr>
        <w:t>о взыскании убытков, причинённых утратой товара при хранении</w:t>
      </w:r>
    </w:p>
    <w:p>
      <w:r>
        <w:rPr>
          <w:b w:val="0"/>
          <w:i w:val="0"/>
        </w:rPr>
      </w:r>
    </w:p>
    <w:p>
      <w:r>
        <w:rPr>
          <w:b/>
          <w:i w:val="0"/>
        </w:rPr>
        <w:t>1. Обстоятельства дела</w:t>
      </w:r>
    </w:p>
    <w:p>
      <w:pPr>
        <w:jc w:val="both"/>
      </w:pPr>
      <w:r>
        <w:rPr>
          <w:b w:val="0"/>
          <w:i w:val="0"/>
        </w:rPr>
        <w:t>Между Истцом и ответчиком заключён договор путём акцепта оферты «О реализации товара на сайте WILDBERRIES». Договор носит смешанный характер — агентирование (ст. 1005, 1011 ГК РФ) с элементами хранения. С момента передачи товара на склад и до реализации покупателю ответчик выступает хранителем товара Истца (ст. 886, 891 ГК РФ) как лицо, для которого хранение — часть предпринимательской деятельности (п. 2 ст. 886 ГК РФ).</w:t>
      </w:r>
    </w:p>
    <w:p>
      <w:pPr>
        <w:jc w:val="both"/>
      </w:pPr>
      <w:r>
        <w:rPr>
          <w:b w:val="0"/>
          <w:i w:val="0"/>
        </w:rPr>
        <w:t>В ночь на [дата] на складе ответчика в г. [___] произошёл пожар в результате атаки БПЛА. Товар Истца на складе утрачен на сумму [сумма] руб., что подтверждается выгрузкой остатков из личного кабинета и товаросопроводительными документами (Приложения №№ 1–2).</w:t>
      </w:r>
    </w:p>
    <w:p>
      <w:r>
        <w:rPr>
          <w:b/>
          <w:i w:val="0"/>
        </w:rPr>
        <w:t>2. Правовое обоснование: почему форс-мажор не освобождает ответчика автоматически</w:t>
      </w:r>
    </w:p>
    <w:p>
      <w:pPr>
        <w:jc w:val="both"/>
      </w:pPr>
      <w:r>
        <w:rPr>
          <w:b w:val="0"/>
          <w:i w:val="0"/>
        </w:rPr>
        <w:t>Согласно п. 1 ст. 901 ГК РФ профессиональный хранитель отвечает за утрату вещи, если не докажет, что она произошла вследствие непреодолимой силы. Согласно п. 3 ст. 401 ГК РФ обстоятельство признаётся непреодолимой силой лишь при одновременном наличии чрезвычайности, непредотвратимости, независимости от воли должника и объективной невозможности исполнения обязательства. Бремя доказывания всех признаков и причинно-следственной связи лежит на ответчике.</w:t>
      </w:r>
    </w:p>
    <w:p>
      <w:pPr>
        <w:jc w:val="both"/>
      </w:pPr>
      <w:r>
        <w:rPr>
          <w:b w:val="0"/>
          <w:i w:val="0"/>
        </w:rPr>
        <w:t>Ссылка ответчика на п. 11.3.4.1 оферты (в редакции от 07.07.2026), относящий последствия БПЛА к непреодолимой силе, не предрешает вопрос: оценка признаков непреодолимой силы относится к компетенции суда и не может определяться односторонней формулировкой договора (п. 8 Постановления Пленума ВС РФ от 24.03.2016 № 7).</w:t>
      </w:r>
    </w:p>
    <w:p>
      <w:pPr>
        <w:jc w:val="both"/>
      </w:pPr>
      <w:r>
        <w:rPr>
          <w:b w:val="0"/>
          <w:i/>
          <w:color w:val="606060"/>
          <w:sz w:val="21"/>
        </w:rPr>
        <w:t>[ПОМЕТКА: Честная оговорка для истца: устоявшейся судебной практики о признании атаки БПЛА непреодолимой силой пока нет. Дела о пожаре в Шушарах (2024) касались бытового возгорания из-за проводки — это не тот же вопрос, и суд по атаке БПЛА вполне может занять другую позицию, скорее в пользу ответчика по самому факту чрезвычайности события. Стройте требование в первую очередь на недоказанности разумных мер защиты склада, а не только на оспаривании факта форс-мажора как такового.]</w:t>
      </w:r>
    </w:p>
    <w:p>
      <w:pPr>
        <w:jc w:val="both"/>
      </w:pPr>
      <w:r>
        <w:rPr>
          <w:b w:val="0"/>
          <w:i w:val="0"/>
        </w:rPr>
        <w:t>Даже признав факт атаки чрезвычайным событием, суд должен отдельно оценить, принял ли ответчик разумные меры для минимизации ущерба: исправность систем пожаротушения и сигнализации, организацию эвакуации товара, защиту от вторичных факторов. До представления таких доказательств ответчиком основания для полного освобождения от ответственности отсутствуют.</w:t>
      </w:r>
    </w:p>
    <w:p>
      <w:r>
        <w:rPr>
          <w:b/>
          <w:i w:val="0"/>
        </w:rPr>
        <w:t>3. Методика расчёта — по рыночной цене</w:t>
      </w:r>
    </w:p>
    <w:p>
      <w:pPr>
        <w:jc w:val="both"/>
      </w:pPr>
      <w:r>
        <w:rPr>
          <w:b w:val="0"/>
          <w:i w:val="0"/>
        </w:rPr>
        <w:t>Стоимость утраченного товара, переданного на реализацию, определяется по рыночной (розничной) цене, а не по себестоимости. Позиция подтверждена Постановлением Арбитражного суда Московского округа от 14.11.2022 № Ф05-27351/2022 по делу № А41-77285/2021 (кассация оставила в силе взыскание с Wildberries свыше 13 млн руб. по рыночной стоимости товара; скидки признаны не формирующими рыночную стоимость).</w:t>
      </w:r>
    </w:p>
    <w:p>
      <w:pPr>
        <w:jc w:val="both"/>
      </w:pPr>
      <w:r>
        <w:rPr>
          <w:b w:val="0"/>
          <w:i w:val="0"/>
        </w:rPr>
        <w:t>По делу № А41-62514/2024 (пожар в Шушарах) суд указал: «при непредставлении Вайлдберриз доказательств надлежащего исполнения обязательств по сохранности товара пункт Оферты об ограничении ответственности не применяется».</w:t>
      </w:r>
    </w:p>
    <w:p>
      <w:pPr>
        <w:jc w:val="both"/>
      </w:pPr>
      <w:r>
        <w:rPr>
          <w:b w:val="0"/>
          <w:i/>
          <w:color w:val="606060"/>
          <w:sz w:val="21"/>
        </w:rPr>
        <w:t>[ПОМЕТКА: Оба указанных дела и цитаты проверены по независимым источникам — можно использовать. Другие номера дел из непроверенных источников в иск не включайте без личной проверки на kad.arbitr.ru.]</w:t>
      </w:r>
    </w:p>
    <w:p>
      <w:pPr>
        <w:jc w:val="both"/>
      </w:pPr>
      <w:r>
        <w:rPr>
          <w:b w:val="0"/>
          <w:i w:val="0"/>
        </w:rPr>
        <w:t>Расчёт суммы иска произведён исходя из средней цены реализации товара по данным Истца за 12 месяцев, предшествующих утрате (Приложение № 3), что отражает реальный экономический эквивалент утраченного для Истца — доход, который он получил бы при обычной реализации.</w:t>
      </w:r>
    </w:p>
    <w:p>
      <w:r>
        <w:rPr>
          <w:b/>
          <w:i w:val="0"/>
        </w:rPr>
        <w:t>4. Страхование и неосновательное обогащение</w:t>
      </w:r>
    </w:p>
    <w:p>
      <w:pPr>
        <w:jc w:val="both"/>
      </w:pPr>
      <w:r>
        <w:rPr>
          <w:b w:val="0"/>
          <w:i w:val="0"/>
        </w:rPr>
        <w:t>Прошу суд истребовать у ответчика сведения о наличии договора страхования утраченного товара и суммах произведённых страховых выплат. Если ответчик получил страховое возмещение, превышающее размер выплат продавцам, это образует признаки неосновательного обогащения (ст. 1102 ГК РФ) и влечёт обязанность возместить Истцу упущенную выгоду в размере не менее приходящейся на его товар доли такой выплаты (п. 4 ст. 15 ГК РФ).</w:t>
      </w:r>
    </w:p>
    <w:p>
      <w:r>
        <w:rPr>
          <w:b/>
          <w:i w:val="0"/>
        </w:rPr>
        <w:t>5. Соблюдение досудебного порядка</w:t>
      </w:r>
    </w:p>
    <w:p>
      <w:pPr>
        <w:jc w:val="both"/>
      </w:pPr>
      <w:r>
        <w:rPr>
          <w:b w:val="0"/>
          <w:i w:val="0"/>
        </w:rPr>
        <w:t>[Дата] Истцом в адрес ответчика направлена досудебная претензия (Приложение № 4), полученная ответчиком [дата/номер идентификатора]. Ответ не поступил / получен отказ от [дата]. Досудебный порядок, предусмотренный ч. 5 ст. 4 АПК РФ, соблюдён.</w:t>
      </w:r>
    </w:p>
    <w:p>
      <w:r>
        <w:rPr>
          <w:b/>
          <w:i w:val="0"/>
        </w:rPr>
        <w:t>6. Расчёт суммы исковых требований</w:t>
      </w:r>
    </w:p>
    <w:p>
      <w:pPr>
        <w:spacing w:after="40"/>
        <w:jc w:val="both"/>
      </w:pPr>
      <w:r>
        <w:rPr>
          <w:b w:val="0"/>
          <w:i w:val="0"/>
        </w:rPr>
        <w:t>— Стоимость утраченного товара по рыночной цене: [___] руб. (Приложение № 3);</w:t>
      </w:r>
    </w:p>
    <w:p>
      <w:pPr>
        <w:spacing w:after="40"/>
        <w:jc w:val="both"/>
      </w:pPr>
      <w:r>
        <w:rPr>
          <w:b w:val="0"/>
          <w:i w:val="0"/>
        </w:rPr>
        <w:t>— Проценты за пользование чужими денежными средствами по ст. 395 ГК РФ с [дата] по [дата]: [___] руб.;</w:t>
      </w:r>
    </w:p>
    <w:p>
      <w:pPr>
        <w:spacing w:after="40"/>
        <w:jc w:val="both"/>
      </w:pPr>
      <w:r>
        <w:rPr>
          <w:b w:val="0"/>
          <w:i w:val="0"/>
        </w:rPr>
        <w:t>— Судебные расходы: госпошлина [___] руб., [иные расходы].</w:t>
      </w:r>
    </w:p>
    <w:p>
      <w:r>
        <w:rPr>
          <w:b/>
          <w:i w:val="0"/>
        </w:rPr>
        <w:t>ИТОГО: [___] руб.</w:t>
      </w:r>
    </w:p>
    <w:p>
      <w:r>
        <w:rPr>
          <w:b/>
          <w:i w:val="0"/>
        </w:rPr>
        <w:t>7. Просительная часть</w:t>
      </w:r>
    </w:p>
    <w:p>
      <w:pPr>
        <w:jc w:val="both"/>
      </w:pPr>
      <w:r>
        <w:rPr>
          <w:b w:val="0"/>
          <w:i w:val="0"/>
        </w:rPr>
        <w:t>На основании изложенного, руководствуясь ст. 15, 393, 395, 401, 886, 901, 902, 998, 1011, 1102 ГК РФ, ст. 4, 27, 35, 125, 126 АПК РФ, ПРОШУ СУД:</w:t>
      </w:r>
    </w:p>
    <w:p>
      <w:pPr>
        <w:spacing w:after="40"/>
        <w:jc w:val="both"/>
      </w:pPr>
      <w:r>
        <w:rPr>
          <w:b w:val="0"/>
          <w:i w:val="0"/>
        </w:rPr>
        <w:t>1. Взыскать с ответчика в пользу Истца убытки в размере [___] руб.</w:t>
      </w:r>
    </w:p>
    <w:p>
      <w:pPr>
        <w:spacing w:after="40"/>
        <w:jc w:val="both"/>
      </w:pPr>
      <w:r>
        <w:rPr>
          <w:b w:val="0"/>
          <w:i w:val="0"/>
        </w:rPr>
        <w:t>2. Взыскать проценты за пользование чужими денежными средствами по ст. 395 ГК РФ с [дата] по день фактического исполнения.</w:t>
      </w:r>
    </w:p>
    <w:p>
      <w:pPr>
        <w:spacing w:after="40"/>
        <w:jc w:val="both"/>
      </w:pPr>
      <w:r>
        <w:rPr>
          <w:b w:val="0"/>
          <w:i w:val="0"/>
        </w:rPr>
        <w:t>3. Истребовать у ответчика сведения о страховании утраченного товара и произведённых выплатах.</w:t>
      </w:r>
    </w:p>
    <w:p>
      <w:pPr>
        <w:spacing w:after="40"/>
        <w:jc w:val="both"/>
      </w:pPr>
      <w:r>
        <w:rPr>
          <w:b w:val="0"/>
          <w:i w:val="0"/>
        </w:rPr>
        <w:t>4. Взыскать расходы по уплате государственной пошлины в размере [___] руб.</w:t>
      </w:r>
    </w:p>
    <w:p>
      <w:r>
        <w:rPr>
          <w:b w:val="0"/>
          <w:i w:val="0"/>
        </w:rPr>
      </w:r>
    </w:p>
    <w:p>
      <w:r>
        <w:rPr>
          <w:b/>
          <w:i w:val="0"/>
        </w:rPr>
        <w:t>Приложения:</w:t>
      </w:r>
    </w:p>
    <w:p>
      <w:pPr>
        <w:jc w:val="both"/>
      </w:pPr>
      <w:r>
        <w:rPr>
          <w:b w:val="0"/>
          <w:i w:val="0"/>
        </w:rPr>
        <w:t>1) досудебная претензия и доказательства направления; 2) выгрузка остатков из ЛК; 3) расчёт суммы иска по средней цене реализации, отчёты о продажах за 12 месяцев; 4) документы, подтверждающие факт ЧС; 5) документ об уплате государственной пошлины; 6) выписки из ЕГРЮЛ/ЕГРИП истца и ответчика.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«___» __________ 2026 г.                        ______________ / [ФИО, подпись]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